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FBB61" w14:textId="77777777" w:rsidR="001918A9" w:rsidRPr="00F25D41" w:rsidRDefault="001918A9" w:rsidP="001918A9">
      <w:pPr>
        <w:rPr>
          <w:b/>
          <w:bCs/>
          <w:lang w:val="en-US"/>
        </w:rPr>
      </w:pPr>
      <w:r w:rsidRPr="00F25D41">
        <w:rPr>
          <w:b/>
          <w:bCs/>
          <w:lang w:val="en-US"/>
        </w:rPr>
        <w:t xml:space="preserve">Slide 1 – Introduction </w:t>
      </w:r>
    </w:p>
    <w:p w14:paraId="647B7F2B" w14:textId="77777777" w:rsidR="003D037E" w:rsidRDefault="001918A9" w:rsidP="001918A9">
      <w:pPr>
        <w:rPr>
          <w:lang w:val="en-US"/>
        </w:rPr>
      </w:pPr>
      <w:r w:rsidRPr="00F25D41">
        <w:rPr>
          <w:lang w:val="en-US"/>
        </w:rPr>
        <w:t>"Welcome to this presentation on Porter’s Competitive Advantage of Nations and how it applies to regional energy transition.</w:t>
      </w:r>
      <w:r>
        <w:rPr>
          <w:lang w:val="en-US"/>
        </w:rPr>
        <w:t xml:space="preserve"> </w:t>
      </w:r>
      <w:r w:rsidRPr="00F25D41">
        <w:rPr>
          <w:lang w:val="en-US"/>
        </w:rPr>
        <w:br/>
      </w:r>
    </w:p>
    <w:p w14:paraId="755437B3" w14:textId="31780599" w:rsidR="001918A9" w:rsidRPr="00F25D41" w:rsidRDefault="001918A9" w:rsidP="001918A9">
      <w:pPr>
        <w:rPr>
          <w:lang w:val="en-US"/>
        </w:rPr>
      </w:pPr>
      <w:r w:rsidRPr="00F25D41">
        <w:rPr>
          <w:lang w:val="en-US"/>
        </w:rPr>
        <w:t>Porter’s Diamond explains why some economies succeed—not because of cheap labor or raw materials, but through a complex interaction of factors that drive innovation and competitiveness.</w:t>
      </w:r>
    </w:p>
    <w:p w14:paraId="3AE9C876" w14:textId="1248F8A1" w:rsidR="001918A9" w:rsidRPr="00057819" w:rsidRDefault="001918A9" w:rsidP="001918A9">
      <w:pPr>
        <w:rPr>
          <w:lang w:val="en-US"/>
        </w:rPr>
      </w:pPr>
      <w:r w:rsidRPr="00F25D41">
        <w:rPr>
          <w:lang w:val="en-US"/>
        </w:rPr>
        <w:t>Although the model was designed for nations, the same principles apply to regions. Innovation often starts locally, in clusters where companies, knowledge institutions, and governments work together.</w:t>
      </w:r>
      <w:r w:rsidR="003B048E">
        <w:rPr>
          <w:lang w:val="en-US"/>
        </w:rPr>
        <w:t xml:space="preserve"> And in the quadruple helix also with </w:t>
      </w:r>
      <w:r w:rsidR="00A527EF">
        <w:rPr>
          <w:lang w:val="en-US"/>
        </w:rPr>
        <w:t>residents</w:t>
      </w:r>
      <w:r w:rsidR="003B048E">
        <w:rPr>
          <w:lang w:val="en-US"/>
        </w:rPr>
        <w:t xml:space="preserve">. </w:t>
      </w:r>
      <w:r w:rsidRPr="00F25D41">
        <w:rPr>
          <w:lang w:val="en-US"/>
        </w:rPr>
        <w:br/>
        <w:t>And here’s the key difference: this is demand-driven innovation</w:t>
      </w:r>
      <w:r w:rsidR="007B7B7E">
        <w:rPr>
          <w:lang w:val="en-US"/>
        </w:rPr>
        <w:t xml:space="preserve"> and in this </w:t>
      </w:r>
      <w:r w:rsidR="00B6756C">
        <w:rPr>
          <w:lang w:val="en-US"/>
        </w:rPr>
        <w:t xml:space="preserve">approach </w:t>
      </w:r>
      <w:r w:rsidR="00B6756C" w:rsidRPr="00F25D41">
        <w:rPr>
          <w:lang w:val="en-US"/>
        </w:rPr>
        <w:t>not</w:t>
      </w:r>
      <w:r w:rsidRPr="00F25D41">
        <w:rPr>
          <w:lang w:val="en-US"/>
        </w:rPr>
        <w:t xml:space="preserve"> supply-driven marketing. </w:t>
      </w:r>
      <w:r w:rsidRPr="00057819">
        <w:rPr>
          <w:lang w:val="en-US"/>
        </w:rPr>
        <w:t>Local needs and critical customers push companies to innovate</w:t>
      </w:r>
      <w:r w:rsidR="00A527EF">
        <w:rPr>
          <w:lang w:val="en-US"/>
        </w:rPr>
        <w:t xml:space="preserve"> in </w:t>
      </w:r>
      <w:r w:rsidR="0054636B">
        <w:rPr>
          <w:lang w:val="en-US"/>
        </w:rPr>
        <w:t xml:space="preserve">the </w:t>
      </w:r>
      <w:r w:rsidR="00CB50F8">
        <w:rPr>
          <w:lang w:val="en-US"/>
        </w:rPr>
        <w:t xml:space="preserve">quadruple </w:t>
      </w:r>
      <w:proofErr w:type="gramStart"/>
      <w:r w:rsidR="0054636B">
        <w:rPr>
          <w:lang w:val="en-US"/>
        </w:rPr>
        <w:t xml:space="preserve">helix </w:t>
      </w:r>
      <w:r>
        <w:rPr>
          <w:lang w:val="en-US"/>
        </w:rPr>
        <w:t>.</w:t>
      </w:r>
      <w:proofErr w:type="gramEnd"/>
      <w:r>
        <w:rPr>
          <w:lang w:val="en-US"/>
        </w:rPr>
        <w:t xml:space="preserve"> </w:t>
      </w:r>
      <w:r w:rsidR="002C1891">
        <w:rPr>
          <w:lang w:val="en-US"/>
        </w:rPr>
        <w:t>Engagement through</w:t>
      </w:r>
      <w:r w:rsidR="00177409" w:rsidRPr="00E16FE7">
        <w:rPr>
          <w:lang w:val="en-US"/>
        </w:rPr>
        <w:t xml:space="preserve"> action research </w:t>
      </w:r>
      <w:r w:rsidR="002C1891">
        <w:rPr>
          <w:lang w:val="en-US"/>
        </w:rPr>
        <w:t xml:space="preserve">with </w:t>
      </w:r>
      <w:r w:rsidR="002C1891" w:rsidRPr="00E16FE7">
        <w:rPr>
          <w:lang w:val="en-US"/>
        </w:rPr>
        <w:t>residents and companies</w:t>
      </w:r>
      <w:r w:rsidR="002C1891" w:rsidRPr="00E16FE7">
        <w:rPr>
          <w:lang w:val="en-US"/>
        </w:rPr>
        <w:t xml:space="preserve"> </w:t>
      </w:r>
      <w:r w:rsidRPr="00E16FE7">
        <w:rPr>
          <w:lang w:val="en-US"/>
        </w:rPr>
        <w:t xml:space="preserve">will be </w:t>
      </w:r>
      <w:r w:rsidR="00340B99">
        <w:rPr>
          <w:lang w:val="en-US"/>
        </w:rPr>
        <w:t xml:space="preserve">discussed in the </w:t>
      </w:r>
      <w:r w:rsidRPr="00E16FE7">
        <w:rPr>
          <w:lang w:val="en-US"/>
        </w:rPr>
        <w:t>following presentation</w:t>
      </w:r>
      <w:r w:rsidR="000E749D">
        <w:rPr>
          <w:lang w:val="en-US"/>
        </w:rPr>
        <w:t xml:space="preserve">. </w:t>
      </w:r>
      <w:r w:rsidR="00177409">
        <w:rPr>
          <w:lang w:val="en-US"/>
        </w:rPr>
        <w:t xml:space="preserve">This presentation is about </w:t>
      </w:r>
      <w:r w:rsidR="000E749D">
        <w:rPr>
          <w:lang w:val="en-US"/>
        </w:rPr>
        <w:t>the Po</w:t>
      </w:r>
      <w:r w:rsidR="002C1891">
        <w:rPr>
          <w:lang w:val="en-US"/>
        </w:rPr>
        <w:t>r</w:t>
      </w:r>
      <w:r w:rsidR="000E749D">
        <w:rPr>
          <w:lang w:val="en-US"/>
        </w:rPr>
        <w:t xml:space="preserve">ter model </w:t>
      </w:r>
      <w:proofErr w:type="gramStart"/>
      <w:r w:rsidR="002C1891">
        <w:rPr>
          <w:lang w:val="en-US"/>
        </w:rPr>
        <w:t xml:space="preserve">and </w:t>
      </w:r>
      <w:r w:rsidR="000E749D">
        <w:rPr>
          <w:lang w:val="en-US"/>
        </w:rPr>
        <w:t xml:space="preserve"> </w:t>
      </w:r>
      <w:r w:rsidR="002C1891">
        <w:rPr>
          <w:lang w:val="en-US"/>
        </w:rPr>
        <w:t>the</w:t>
      </w:r>
      <w:proofErr w:type="gramEnd"/>
      <w:r w:rsidR="002C1891">
        <w:rPr>
          <w:lang w:val="en-US"/>
        </w:rPr>
        <w:t xml:space="preserve"> factor conditions. </w:t>
      </w:r>
      <w:r w:rsidRPr="00E16FE7">
        <w:rPr>
          <w:lang w:val="en-US"/>
        </w:rPr>
        <w:t xml:space="preserve"> </w:t>
      </w:r>
    </w:p>
    <w:p w14:paraId="0E85EE5D" w14:textId="77777777" w:rsidR="001918A9" w:rsidRPr="00F25D41" w:rsidRDefault="001918A9" w:rsidP="001918A9">
      <w:pPr>
        <w:rPr>
          <w:b/>
          <w:bCs/>
          <w:lang w:val="en-US"/>
        </w:rPr>
      </w:pPr>
      <w:r w:rsidRPr="00F25D41">
        <w:rPr>
          <w:b/>
          <w:bCs/>
          <w:lang w:val="en-US"/>
        </w:rPr>
        <w:t xml:space="preserve">Slide 2 – The Four Determinants </w:t>
      </w:r>
    </w:p>
    <w:p w14:paraId="43160EEC" w14:textId="77777777" w:rsidR="001918A9" w:rsidRDefault="001918A9" w:rsidP="001918A9">
      <w:pPr>
        <w:rPr>
          <w:lang w:val="en-US"/>
        </w:rPr>
      </w:pPr>
      <w:r w:rsidRPr="00F25D41">
        <w:rPr>
          <w:lang w:val="en-US"/>
        </w:rPr>
        <w:t xml:space="preserve">"Porter’s </w:t>
      </w:r>
      <w:proofErr w:type="gramStart"/>
      <w:r w:rsidRPr="00F25D41">
        <w:rPr>
          <w:lang w:val="en-US"/>
        </w:rPr>
        <w:t>Diamond</w:t>
      </w:r>
      <w:proofErr w:type="gramEnd"/>
      <w:r w:rsidRPr="00F25D41">
        <w:rPr>
          <w:lang w:val="en-US"/>
        </w:rPr>
        <w:t xml:space="preserve"> consists of four main elements:</w:t>
      </w:r>
    </w:p>
    <w:p w14:paraId="5A671579" w14:textId="77777777" w:rsidR="000953FE" w:rsidRDefault="001918A9" w:rsidP="001918A9">
      <w:pPr>
        <w:ind w:left="708"/>
        <w:rPr>
          <w:lang w:val="en-US"/>
        </w:rPr>
      </w:pPr>
      <w:r w:rsidRPr="00F25D41">
        <w:rPr>
          <w:lang w:val="en-US"/>
        </w:rPr>
        <w:t xml:space="preserve">First, </w:t>
      </w:r>
      <w:r w:rsidRPr="00F25D41">
        <w:rPr>
          <w:b/>
          <w:bCs/>
          <w:lang w:val="en-US"/>
        </w:rPr>
        <w:t>Factor Conditions</w:t>
      </w:r>
      <w:r w:rsidRPr="00F25D41">
        <w:rPr>
          <w:lang w:val="en-US"/>
        </w:rPr>
        <w:t>—resources, skills, infrastructure, and technology.</w:t>
      </w:r>
      <w:r w:rsidRPr="00F25D41">
        <w:rPr>
          <w:lang w:val="en-US"/>
        </w:rPr>
        <w:br/>
      </w:r>
    </w:p>
    <w:p w14:paraId="404742DC" w14:textId="4608DB50" w:rsidR="001918A9" w:rsidRDefault="001918A9" w:rsidP="001918A9">
      <w:pPr>
        <w:ind w:left="708"/>
        <w:rPr>
          <w:lang w:val="en-US"/>
        </w:rPr>
      </w:pPr>
      <w:r w:rsidRPr="00F25D41">
        <w:rPr>
          <w:lang w:val="en-US"/>
        </w:rPr>
        <w:t xml:space="preserve">Second, </w:t>
      </w:r>
      <w:r w:rsidRPr="00F25D41">
        <w:rPr>
          <w:b/>
          <w:bCs/>
          <w:lang w:val="en-US"/>
        </w:rPr>
        <w:t>Demand Conditions</w:t>
      </w:r>
      <w:r w:rsidRPr="00F25D41">
        <w:rPr>
          <w:lang w:val="en-US"/>
        </w:rPr>
        <w:t>—how demanding are customers? Critical customers create pressure for innovation.</w:t>
      </w:r>
      <w:r>
        <w:rPr>
          <w:lang w:val="en-US"/>
        </w:rPr>
        <w:t xml:space="preserve"> T</w:t>
      </w:r>
      <w:r w:rsidRPr="00F25D41">
        <w:rPr>
          <w:lang w:val="en-US"/>
        </w:rPr>
        <w:t xml:space="preserve">hat is </w:t>
      </w:r>
      <w:r>
        <w:rPr>
          <w:lang w:val="en-US"/>
        </w:rPr>
        <w:t>that</w:t>
      </w:r>
      <w:r w:rsidRPr="00F25D41">
        <w:rPr>
          <w:lang w:val="en-US"/>
        </w:rPr>
        <w:t xml:space="preserve"> the customer or citizen directs companies to what they need, and not </w:t>
      </w:r>
      <w:proofErr w:type="gramStart"/>
      <w:r w:rsidRPr="00F25D41">
        <w:rPr>
          <w:lang w:val="en-US"/>
        </w:rPr>
        <w:t>th</w:t>
      </w:r>
      <w:r>
        <w:rPr>
          <w:lang w:val="en-US"/>
        </w:rPr>
        <w:t xml:space="preserve">at </w:t>
      </w:r>
      <w:r w:rsidRPr="00F25D41">
        <w:rPr>
          <w:lang w:val="en-US"/>
        </w:rPr>
        <w:t xml:space="preserve"> the</w:t>
      </w:r>
      <w:proofErr w:type="gramEnd"/>
      <w:r w:rsidRPr="00F25D41">
        <w:rPr>
          <w:lang w:val="en-US"/>
        </w:rPr>
        <w:t xml:space="preserve"> company directs customers with marketing what they can sell with the most profit.</w:t>
      </w:r>
      <w:r w:rsidR="00C17587">
        <w:rPr>
          <w:lang w:val="en-US"/>
        </w:rPr>
        <w:t xml:space="preserve"> Basic conditions ar</w:t>
      </w:r>
      <w:r w:rsidR="00160F75">
        <w:rPr>
          <w:lang w:val="en-US"/>
        </w:rPr>
        <w:t>e</w:t>
      </w:r>
      <w:r w:rsidR="00C17587">
        <w:rPr>
          <w:lang w:val="en-US"/>
        </w:rPr>
        <w:t xml:space="preserve"> </w:t>
      </w:r>
      <w:r w:rsidR="00160F75" w:rsidRPr="00160F75">
        <w:rPr>
          <w:lang w:val="en-US"/>
        </w:rPr>
        <w:t>discussed in</w:t>
      </w:r>
      <w:r w:rsidR="00160F75">
        <w:rPr>
          <w:lang w:val="en-US"/>
        </w:rPr>
        <w:t xml:space="preserve"> </w:t>
      </w:r>
      <w:r w:rsidR="00C07FF4">
        <w:rPr>
          <w:lang w:val="en-US"/>
        </w:rPr>
        <w:t xml:space="preserve">previous presentations </w:t>
      </w:r>
      <w:r w:rsidR="00C17587">
        <w:rPr>
          <w:lang w:val="en-US"/>
        </w:rPr>
        <w:t>f</w:t>
      </w:r>
      <w:r w:rsidR="0096762F">
        <w:rPr>
          <w:lang w:val="en-US"/>
        </w:rPr>
        <w:t>r</w:t>
      </w:r>
      <w:r w:rsidR="00C17587">
        <w:rPr>
          <w:lang w:val="en-US"/>
        </w:rPr>
        <w:t xml:space="preserve">om the latency </w:t>
      </w:r>
      <w:r w:rsidR="0096762F">
        <w:rPr>
          <w:lang w:val="en-US"/>
        </w:rPr>
        <w:t>subsystem.</w:t>
      </w:r>
      <w:r w:rsidR="00C17587">
        <w:rPr>
          <w:lang w:val="en-US"/>
        </w:rPr>
        <w:t xml:space="preserve"> </w:t>
      </w:r>
    </w:p>
    <w:p w14:paraId="08DCC492" w14:textId="77777777" w:rsidR="001918A9" w:rsidRDefault="001918A9" w:rsidP="001918A9">
      <w:pPr>
        <w:ind w:left="708"/>
        <w:rPr>
          <w:lang w:val="en-US"/>
        </w:rPr>
      </w:pPr>
      <w:r w:rsidRPr="00F25D41">
        <w:rPr>
          <w:lang w:val="en-US"/>
        </w:rPr>
        <w:t xml:space="preserve">Third, </w:t>
      </w:r>
      <w:r w:rsidRPr="00F25D41">
        <w:rPr>
          <w:b/>
          <w:bCs/>
          <w:lang w:val="en-US"/>
        </w:rPr>
        <w:t>Related and Supporting Industries</w:t>
      </w:r>
      <w:r w:rsidRPr="00F25D41">
        <w:rPr>
          <w:lang w:val="en-US"/>
        </w:rPr>
        <w:t>—strong suppliers and networks that enable collaboration.</w:t>
      </w:r>
      <w:r>
        <w:rPr>
          <w:lang w:val="en-US"/>
        </w:rPr>
        <w:t xml:space="preserve"> </w:t>
      </w:r>
      <w:r w:rsidRPr="00F25D41">
        <w:rPr>
          <w:lang w:val="en-US"/>
        </w:rPr>
        <w:t>That structure depends on the past and can only change for innovation if companies take new paths together</w:t>
      </w:r>
      <w:r>
        <w:rPr>
          <w:lang w:val="en-US"/>
        </w:rPr>
        <w:t>.</w:t>
      </w:r>
    </w:p>
    <w:p w14:paraId="186DD5EE" w14:textId="77777777" w:rsidR="001918A9" w:rsidRPr="00F25D41" w:rsidRDefault="001918A9" w:rsidP="001918A9">
      <w:pPr>
        <w:ind w:left="708"/>
        <w:rPr>
          <w:lang w:val="en-US"/>
        </w:rPr>
      </w:pPr>
      <w:r w:rsidRPr="00F25D41">
        <w:rPr>
          <w:lang w:val="en-US"/>
        </w:rPr>
        <w:t xml:space="preserve">And fourth, </w:t>
      </w:r>
      <w:r w:rsidRPr="00F25D41">
        <w:rPr>
          <w:b/>
          <w:bCs/>
          <w:lang w:val="en-US"/>
        </w:rPr>
        <w:t>Firm Strategy, Structure, and Rivalry</w:t>
      </w:r>
      <w:r w:rsidRPr="00F25D41">
        <w:rPr>
          <w:lang w:val="en-US"/>
        </w:rPr>
        <w:t>—how companies are organized and how competition stimulates progress.</w:t>
      </w:r>
      <w:r>
        <w:rPr>
          <w:lang w:val="en-US"/>
        </w:rPr>
        <w:t xml:space="preserve"> This has also to do with the type of industry. </w:t>
      </w:r>
    </w:p>
    <w:p w14:paraId="48B4CA7A" w14:textId="74A202EA" w:rsidR="001918A9" w:rsidRPr="003E2846" w:rsidRDefault="001918A9" w:rsidP="001918A9">
      <w:pPr>
        <w:rPr>
          <w:lang w:val="en-US"/>
        </w:rPr>
      </w:pPr>
      <w:r w:rsidRPr="00F25D41">
        <w:rPr>
          <w:lang w:val="en-US"/>
        </w:rPr>
        <w:t xml:space="preserve">Government </w:t>
      </w:r>
      <w:proofErr w:type="gramStart"/>
      <w:r>
        <w:rPr>
          <w:lang w:val="en-US"/>
        </w:rPr>
        <w:t>act</w:t>
      </w:r>
      <w:proofErr w:type="gramEnd"/>
      <w:r>
        <w:rPr>
          <w:lang w:val="en-US"/>
        </w:rPr>
        <w:t xml:space="preserve"> </w:t>
      </w:r>
      <w:r w:rsidRPr="00F25D41">
        <w:rPr>
          <w:lang w:val="en-US"/>
        </w:rPr>
        <w:t>as catalysts</w:t>
      </w:r>
      <w:r w:rsidR="0096762F">
        <w:rPr>
          <w:lang w:val="en-US"/>
        </w:rPr>
        <w:t xml:space="preserve"> in the Porter model</w:t>
      </w:r>
      <w:r w:rsidR="00CD406D">
        <w:rPr>
          <w:lang w:val="en-US"/>
        </w:rPr>
        <w:t xml:space="preserve">. In our </w:t>
      </w:r>
      <w:r w:rsidRPr="00F25D41">
        <w:rPr>
          <w:lang w:val="en-US"/>
        </w:rPr>
        <w:t>approach, th</w:t>
      </w:r>
      <w:r>
        <w:rPr>
          <w:lang w:val="en-US"/>
        </w:rPr>
        <w:t xml:space="preserve">is </w:t>
      </w:r>
      <w:proofErr w:type="gramStart"/>
      <w:r>
        <w:rPr>
          <w:lang w:val="en-US"/>
        </w:rPr>
        <w:t xml:space="preserve">links </w:t>
      </w:r>
      <w:r w:rsidRPr="00F25D41">
        <w:rPr>
          <w:lang w:val="en-US"/>
        </w:rPr>
        <w:t xml:space="preserve"> to</w:t>
      </w:r>
      <w:proofErr w:type="gramEnd"/>
      <w:r w:rsidRPr="00F25D41">
        <w:rPr>
          <w:lang w:val="en-US"/>
        </w:rPr>
        <w:t xml:space="preserve"> AGIL</w:t>
      </w:r>
      <w:r>
        <w:rPr>
          <w:lang w:val="en-US"/>
        </w:rPr>
        <w:t xml:space="preserve"> w</w:t>
      </w:r>
      <w:r w:rsidR="00CD406D">
        <w:rPr>
          <w:lang w:val="en-US"/>
        </w:rPr>
        <w:t>ith</w:t>
      </w:r>
      <w:r w:rsidR="00C03C1F">
        <w:rPr>
          <w:lang w:val="en-US"/>
        </w:rPr>
        <w:t xml:space="preserve"> the</w:t>
      </w:r>
      <w:r>
        <w:rPr>
          <w:lang w:val="en-US"/>
        </w:rPr>
        <w:t xml:space="preserve"> functional goal or polity subsystem is analyzed later. </w:t>
      </w:r>
    </w:p>
    <w:p w14:paraId="58215A79" w14:textId="77777777" w:rsidR="001918A9" w:rsidRPr="005A0F06" w:rsidRDefault="001918A9" w:rsidP="001918A9">
      <w:pPr>
        <w:rPr>
          <w:b/>
          <w:bCs/>
          <w:lang w:val="en-US"/>
        </w:rPr>
      </w:pPr>
      <w:r w:rsidRPr="00F25D41">
        <w:rPr>
          <w:b/>
          <w:bCs/>
          <w:lang w:val="en-US"/>
        </w:rPr>
        <w:t xml:space="preserve">Slide 3 – </w:t>
      </w:r>
      <w:r w:rsidRPr="005A0F06">
        <w:rPr>
          <w:b/>
          <w:bCs/>
          <w:lang w:val="en-US"/>
        </w:rPr>
        <w:t xml:space="preserve">Porters Diamond integrated in AGIL scheme   </w:t>
      </w:r>
    </w:p>
    <w:p w14:paraId="1298B584" w14:textId="77777777" w:rsidR="001918A9" w:rsidRPr="005A0F06" w:rsidRDefault="001918A9" w:rsidP="001918A9">
      <w:pPr>
        <w:rPr>
          <w:lang w:val="en-US"/>
        </w:rPr>
      </w:pPr>
      <w:r w:rsidRPr="005A0F06">
        <w:rPr>
          <w:lang w:val="en-US"/>
        </w:rPr>
        <w:t xml:space="preserve">In this sheet, we integrate Porter's model into the AGIL framework. This provides insight into elements that are less addressed in Porter's work. In the legacy subsystem, we </w:t>
      </w:r>
      <w:r w:rsidRPr="005A0F06">
        <w:rPr>
          <w:lang w:val="en-US"/>
        </w:rPr>
        <w:lastRenderedPageBreak/>
        <w:t>already discussed how culture, the structure of norms and values, and education in society determine the demand factors of families. This is summarized here in a single block that will be later incorporated into an action research project</w:t>
      </w:r>
      <w:r>
        <w:rPr>
          <w:lang w:val="en-US"/>
        </w:rPr>
        <w:t xml:space="preserve">, with citizens and </w:t>
      </w:r>
      <w:proofErr w:type="gramStart"/>
      <w:r>
        <w:rPr>
          <w:lang w:val="en-US"/>
        </w:rPr>
        <w:t xml:space="preserve">companies </w:t>
      </w:r>
      <w:r w:rsidRPr="005A0F06">
        <w:rPr>
          <w:lang w:val="en-US"/>
        </w:rPr>
        <w:t xml:space="preserve"> to</w:t>
      </w:r>
      <w:proofErr w:type="gramEnd"/>
      <w:r w:rsidRPr="005A0F06">
        <w:rPr>
          <w:lang w:val="en-US"/>
        </w:rPr>
        <w:t xml:space="preserve"> better articulate critical demand</w:t>
      </w:r>
      <w:r>
        <w:rPr>
          <w:lang w:val="en-US"/>
        </w:rPr>
        <w:t xml:space="preserve">. </w:t>
      </w:r>
      <w:r w:rsidRPr="005A0F06">
        <w:rPr>
          <w:lang w:val="en-US"/>
        </w:rPr>
        <w:t xml:space="preserve"> </w:t>
      </w:r>
    </w:p>
    <w:p w14:paraId="07784F77" w14:textId="77777777" w:rsidR="001918A9" w:rsidRPr="00F25D41" w:rsidRDefault="001918A9" w:rsidP="001918A9">
      <w:pPr>
        <w:rPr>
          <w:lang w:val="en-US"/>
        </w:rPr>
      </w:pPr>
      <w:r w:rsidRPr="00F25D41">
        <w:rPr>
          <w:lang w:val="en-US"/>
        </w:rPr>
        <w:t>Why does this work regionally? Because tacit knowledge—shared through local interaction—is key to innovation.</w:t>
      </w:r>
      <w:r>
        <w:rPr>
          <w:lang w:val="en-US"/>
        </w:rPr>
        <w:t xml:space="preserve"> </w:t>
      </w:r>
      <w:proofErr w:type="spellStart"/>
      <w:r w:rsidRPr="00F25D41">
        <w:rPr>
          <w:lang w:val="en-US"/>
        </w:rPr>
        <w:t>Brainport</w:t>
      </w:r>
      <w:proofErr w:type="spellEnd"/>
      <w:r w:rsidRPr="00F25D41">
        <w:rPr>
          <w:lang w:val="en-US"/>
        </w:rPr>
        <w:t xml:space="preserve"> Eindhoven thrives on clusters of firms, universities, and networks</w:t>
      </w:r>
      <w:r>
        <w:rPr>
          <w:lang w:val="en-US"/>
        </w:rPr>
        <w:t>, but that is on high tech business to business level</w:t>
      </w:r>
      <w:r w:rsidRPr="00F25D41">
        <w:rPr>
          <w:lang w:val="en-US"/>
        </w:rPr>
        <w:t>.</w:t>
      </w:r>
    </w:p>
    <w:p w14:paraId="2D8D38C9" w14:textId="77777777" w:rsidR="001918A9" w:rsidRDefault="001918A9" w:rsidP="001918A9">
      <w:pPr>
        <w:rPr>
          <w:lang w:val="en-US"/>
        </w:rPr>
      </w:pPr>
      <w:r w:rsidRPr="00F25D41">
        <w:rPr>
          <w:lang w:val="en-US"/>
        </w:rPr>
        <w:t>In Alkmaar and Heiloo, dynamics are different:</w:t>
      </w:r>
      <w:r>
        <w:rPr>
          <w:lang w:val="en-US"/>
        </w:rPr>
        <w:t xml:space="preserve"> n</w:t>
      </w:r>
      <w:r w:rsidRPr="00F25D41">
        <w:rPr>
          <w:lang w:val="en-US"/>
        </w:rPr>
        <w:t xml:space="preserve">o university, but </w:t>
      </w:r>
      <w:r>
        <w:rPr>
          <w:lang w:val="en-US"/>
        </w:rPr>
        <w:t xml:space="preserve">a polytechnic and </w:t>
      </w:r>
      <w:r w:rsidRPr="00F25D41">
        <w:rPr>
          <w:lang w:val="en-US"/>
        </w:rPr>
        <w:t>vocational schools and knowledge networks.</w:t>
      </w:r>
      <w:r>
        <w:rPr>
          <w:lang w:val="en-US"/>
        </w:rPr>
        <w:t xml:space="preserve"> </w:t>
      </w:r>
      <w:r w:rsidRPr="00F25D41">
        <w:rPr>
          <w:lang w:val="en-US"/>
        </w:rPr>
        <w:t>Local firms adapting to energy transition</w:t>
      </w:r>
      <w:r>
        <w:rPr>
          <w:lang w:val="en-US"/>
        </w:rPr>
        <w:t xml:space="preserve"> can have added value and learn if c</w:t>
      </w:r>
      <w:r w:rsidRPr="00F25D41">
        <w:rPr>
          <w:lang w:val="en-US"/>
        </w:rPr>
        <w:t xml:space="preserve">itizens </w:t>
      </w:r>
      <w:r>
        <w:rPr>
          <w:lang w:val="en-US"/>
        </w:rPr>
        <w:t xml:space="preserve">are </w:t>
      </w:r>
      <w:r w:rsidRPr="00F25D41">
        <w:rPr>
          <w:lang w:val="en-US"/>
        </w:rPr>
        <w:t>acting as critical customers and co-creators</w:t>
      </w:r>
      <w:r>
        <w:rPr>
          <w:lang w:val="en-US"/>
        </w:rPr>
        <w:t xml:space="preserve"> together </w:t>
      </w:r>
      <w:proofErr w:type="gramStart"/>
      <w:r>
        <w:rPr>
          <w:lang w:val="en-US"/>
        </w:rPr>
        <w:t>with  knowledge</w:t>
      </w:r>
      <w:proofErr w:type="gramEnd"/>
      <w:r>
        <w:rPr>
          <w:lang w:val="en-US"/>
        </w:rPr>
        <w:t xml:space="preserve"> institutes. </w:t>
      </w:r>
    </w:p>
    <w:p w14:paraId="1DC84579" w14:textId="77777777" w:rsidR="001918A9" w:rsidRDefault="001918A9" w:rsidP="001918A9">
      <w:pPr>
        <w:rPr>
          <w:lang w:val="en-US"/>
        </w:rPr>
      </w:pPr>
      <w:r w:rsidRPr="000E5704">
        <w:rPr>
          <w:lang w:val="en-US"/>
        </w:rPr>
        <w:t>This is about tacit knowledge refer</w:t>
      </w:r>
      <w:r>
        <w:rPr>
          <w:lang w:val="en-US"/>
        </w:rPr>
        <w:t>ring</w:t>
      </w:r>
      <w:r w:rsidRPr="000E5704">
        <w:rPr>
          <w:lang w:val="en-US"/>
        </w:rPr>
        <w:t xml:space="preserve"> to knowledge that is personal, experience-based, and difficult to formalize or </w:t>
      </w:r>
      <w:proofErr w:type="gramStart"/>
      <w:r w:rsidRPr="000E5704">
        <w:rPr>
          <w:lang w:val="en-US"/>
        </w:rPr>
        <w:t>communicate</w:t>
      </w:r>
      <w:proofErr w:type="gramEnd"/>
      <w:r w:rsidRPr="000E5704">
        <w:rPr>
          <w:lang w:val="en-US"/>
        </w:rPr>
        <w:t>. It is often embedded in individual skills, intuition, and social interactions rather than written documents or explicit instructions. Examples include practical know-how, cultural understanding, and problem-solving skills learned through practice.</w:t>
      </w:r>
      <w:r>
        <w:rPr>
          <w:lang w:val="en-US"/>
        </w:rPr>
        <w:t xml:space="preserve"> </w:t>
      </w:r>
    </w:p>
    <w:p w14:paraId="271DED41" w14:textId="77777777" w:rsidR="001918A9" w:rsidRPr="00F25D41" w:rsidRDefault="001918A9" w:rsidP="001918A9">
      <w:pPr>
        <w:rPr>
          <w:lang w:val="en-US"/>
        </w:rPr>
      </w:pPr>
      <w:proofErr w:type="gramStart"/>
      <w:r>
        <w:rPr>
          <w:lang w:val="en-US"/>
        </w:rPr>
        <w:t>E</w:t>
      </w:r>
      <w:r w:rsidRPr="00AE6142">
        <w:rPr>
          <w:lang w:val="en-US"/>
        </w:rPr>
        <w:t>xplicit knowledge,</w:t>
      </w:r>
      <w:proofErr w:type="gramEnd"/>
      <w:r w:rsidRPr="00AE6142">
        <w:rPr>
          <w:lang w:val="en-US"/>
        </w:rPr>
        <w:t xml:space="preserve"> is increasingly easier to transfer with new media and can be copied </w:t>
      </w:r>
      <w:proofErr w:type="gramStart"/>
      <w:r w:rsidRPr="00AE6142">
        <w:rPr>
          <w:lang w:val="en-US"/>
        </w:rPr>
        <w:t>anywhere, and</w:t>
      </w:r>
      <w:proofErr w:type="gramEnd"/>
      <w:r w:rsidRPr="00AE6142">
        <w:rPr>
          <w:lang w:val="en-US"/>
        </w:rPr>
        <w:t xml:space="preserve"> remains a competitive advantage for a region.</w:t>
      </w:r>
      <w:r>
        <w:rPr>
          <w:lang w:val="en-US"/>
        </w:rPr>
        <w:t xml:space="preserve"> </w:t>
      </w:r>
      <w:r w:rsidRPr="003E2846">
        <w:rPr>
          <w:lang w:val="en-US"/>
        </w:rPr>
        <w:t>Tacit knowledge</w:t>
      </w:r>
      <w:r>
        <w:rPr>
          <w:lang w:val="en-US"/>
        </w:rPr>
        <w:t xml:space="preserve"> is in contrast difficult to </w:t>
      </w:r>
      <w:proofErr w:type="gramStart"/>
      <w:r>
        <w:rPr>
          <w:lang w:val="en-US"/>
        </w:rPr>
        <w:t>transfer  and</w:t>
      </w:r>
      <w:proofErr w:type="gramEnd"/>
      <w:r>
        <w:rPr>
          <w:lang w:val="en-US"/>
        </w:rPr>
        <w:t xml:space="preserve"> </w:t>
      </w:r>
      <w:proofErr w:type="gramStart"/>
      <w:r>
        <w:rPr>
          <w:lang w:val="en-US"/>
        </w:rPr>
        <w:t>has to</w:t>
      </w:r>
      <w:proofErr w:type="gramEnd"/>
      <w:r>
        <w:rPr>
          <w:lang w:val="en-US"/>
        </w:rPr>
        <w:t xml:space="preserve"> be made explicit before it can be used in a wider context.   </w:t>
      </w:r>
    </w:p>
    <w:p w14:paraId="06015067" w14:textId="40160AFC" w:rsidR="00BA7EF1" w:rsidRPr="00440301" w:rsidRDefault="00BA7EF1" w:rsidP="00B31331">
      <w:pPr>
        <w:rPr>
          <w:b/>
          <w:bCs/>
          <w:lang w:val="en-US"/>
        </w:rPr>
      </w:pPr>
      <w:r w:rsidRPr="00440301">
        <w:rPr>
          <w:b/>
          <w:bCs/>
          <w:lang w:val="en-US"/>
        </w:rPr>
        <w:t xml:space="preserve">Slide </w:t>
      </w:r>
      <w:r w:rsidR="00440301" w:rsidRPr="00440301">
        <w:rPr>
          <w:b/>
          <w:bCs/>
          <w:lang w:val="en-US"/>
        </w:rPr>
        <w:t>4</w:t>
      </w:r>
    </w:p>
    <w:p w14:paraId="0FDDBE55" w14:textId="2261337F" w:rsidR="00470673" w:rsidRDefault="00B31331" w:rsidP="00B31331">
      <w:pPr>
        <w:rPr>
          <w:lang w:val="en-US"/>
        </w:rPr>
      </w:pPr>
      <w:r w:rsidRPr="00B31331">
        <w:rPr>
          <w:lang w:val="en-US"/>
        </w:rPr>
        <w:t xml:space="preserve">Porter’s framework, basic factors are the foundational resources that enable competitiveness. For Plan Oost, these include strong solar irradiance and many available rooftops, which create excellent conditions for solar energy generation. The existing </w:t>
      </w:r>
      <w:proofErr w:type="gramStart"/>
      <w:r w:rsidRPr="00B31331">
        <w:rPr>
          <w:lang w:val="en-US"/>
        </w:rPr>
        <w:t>electricity grid</w:t>
      </w:r>
      <w:proofErr w:type="gramEnd"/>
      <w:r w:rsidRPr="00B31331">
        <w:rPr>
          <w:lang w:val="en-US"/>
        </w:rPr>
        <w:t xml:space="preserve"> provides a starting point for integration, while there is physical space for installing batteries to store energy locally. </w:t>
      </w:r>
    </w:p>
    <w:p w14:paraId="000526B0" w14:textId="77777777" w:rsidR="009A3CD4" w:rsidRDefault="00470673" w:rsidP="00B31331">
      <w:pPr>
        <w:rPr>
          <w:lang w:val="en-US"/>
        </w:rPr>
      </w:pPr>
      <w:r w:rsidRPr="00470673">
        <w:rPr>
          <w:lang w:val="en-US"/>
        </w:rPr>
        <w:t>There is currently no grid congestion, but the number of electric cars in this area will certainly increase, and more heat pumps will also lead to increased demand for electricity. This will lead to increased demand for storage and smart energy management in the future.</w:t>
      </w:r>
    </w:p>
    <w:p w14:paraId="0EBF0E36" w14:textId="4E89300C" w:rsidR="00B31331" w:rsidRPr="00B31331" w:rsidRDefault="00B31331" w:rsidP="00B31331">
      <w:pPr>
        <w:rPr>
          <w:lang w:val="en-US"/>
        </w:rPr>
      </w:pPr>
      <w:r w:rsidRPr="00B31331">
        <w:rPr>
          <w:lang w:val="en-US"/>
        </w:rPr>
        <w:t>Finally, the absence of a high-temperature heating network means the area is more flexible for adopting innovative heating solutions. These basic factors form the groundwork for building a Virtual Power Plant and accelerating the energy transition."</w:t>
      </w:r>
    </w:p>
    <w:p w14:paraId="1209BFF9" w14:textId="77777777" w:rsidR="00440301" w:rsidRDefault="00440301" w:rsidP="00BA7EF1">
      <w:pPr>
        <w:rPr>
          <w:lang w:val="en-US"/>
        </w:rPr>
      </w:pPr>
    </w:p>
    <w:p w14:paraId="45FECA6B" w14:textId="1120593C" w:rsidR="00440301" w:rsidRPr="00440301" w:rsidRDefault="00440301" w:rsidP="00BA7EF1">
      <w:pPr>
        <w:rPr>
          <w:b/>
          <w:bCs/>
          <w:lang w:val="en-US"/>
        </w:rPr>
      </w:pPr>
      <w:r w:rsidRPr="00440301">
        <w:rPr>
          <w:b/>
          <w:bCs/>
          <w:lang w:val="en-US"/>
        </w:rPr>
        <w:t>Slide 5</w:t>
      </w:r>
    </w:p>
    <w:p w14:paraId="27CD05FC" w14:textId="1B166A75" w:rsidR="00BA7EF1" w:rsidRDefault="00BA7EF1" w:rsidP="00BA7EF1">
      <w:pPr>
        <w:rPr>
          <w:lang w:val="en-US"/>
        </w:rPr>
      </w:pPr>
      <w:r w:rsidRPr="00BA7EF1">
        <w:rPr>
          <w:lang w:val="en-US"/>
        </w:rPr>
        <w:lastRenderedPageBreak/>
        <w:t>"Advanced factors go beyond basic resources and include technical expertise, digital infrastructure, and research capacity. In this context, it is important to note that Alkmaar hosts a university of applied sciences, which can play a key role in research and innovation as part of the quadruple helix collaboration between citizens, government, businesses, and knowledge institutions. In Plan Oost, these advanced conditions are reinforced by a socio-economic profile that supports innovation. The area has a relatively high share of theoretically educated residents, which means people understand complex energy concepts and are more open to adopting new technologies. At the same time, income levels are above the national average, making it financially feasible for households to invest in solutions like batteries and smart systems. Together, these advanced factors create a robust environment for implementing a Virtual Power Plant and accelerating the energy transition."</w:t>
      </w:r>
    </w:p>
    <w:p w14:paraId="44493766" w14:textId="69A35213" w:rsidR="00410DC4" w:rsidRPr="00A4637C" w:rsidRDefault="00410DC4" w:rsidP="00410DC4">
      <w:pPr>
        <w:rPr>
          <w:b/>
          <w:bCs/>
          <w:lang w:val="en-US"/>
        </w:rPr>
      </w:pPr>
      <w:r w:rsidRPr="00A4637C">
        <w:rPr>
          <w:b/>
          <w:bCs/>
          <w:lang w:val="en-US"/>
        </w:rPr>
        <w:t xml:space="preserve">Slide </w:t>
      </w:r>
      <w:r w:rsidR="00A4637C" w:rsidRPr="00A4637C">
        <w:rPr>
          <w:b/>
          <w:bCs/>
          <w:lang w:val="en-US"/>
        </w:rPr>
        <w:t>6</w:t>
      </w:r>
    </w:p>
    <w:p w14:paraId="50C9DBDC" w14:textId="5DC0B0BD" w:rsidR="00410DC4" w:rsidRPr="00410DC4" w:rsidRDefault="00410DC4" w:rsidP="00410DC4">
      <w:pPr>
        <w:rPr>
          <w:lang w:val="en-US"/>
        </w:rPr>
      </w:pPr>
      <w:r w:rsidRPr="00410DC4">
        <w:rPr>
          <w:lang w:val="en-US"/>
        </w:rPr>
        <w:t>Porter’s framework shows that factor conditions create the foundation for competitiveness. But conditions alone are not enough. To make a Virtual Power Plant successful, we need to turn these structural advantages into active community engagement. That means informing residents, building trust, and creating incentives so they participate in energy sharing and flexibility programs. Moving from conditions to engagement is the key step that transforms technical potential into real impact for the energy transition."</w:t>
      </w:r>
    </w:p>
    <w:p w14:paraId="79E307FF" w14:textId="77777777" w:rsidR="00410DC4" w:rsidRPr="00BA7EF1" w:rsidRDefault="00410DC4" w:rsidP="00BA7EF1">
      <w:pPr>
        <w:rPr>
          <w:lang w:val="en-US"/>
        </w:rPr>
      </w:pPr>
    </w:p>
    <w:p w14:paraId="483330FE" w14:textId="77777777" w:rsidR="00B31331" w:rsidRPr="00B31331" w:rsidRDefault="00B31331" w:rsidP="00357CD8">
      <w:pPr>
        <w:rPr>
          <w:lang w:val="en-US"/>
        </w:rPr>
      </w:pPr>
    </w:p>
    <w:p w14:paraId="56E9D0D3" w14:textId="77777777" w:rsidR="00B31331" w:rsidRPr="00B31331" w:rsidRDefault="00B31331" w:rsidP="00357CD8">
      <w:pPr>
        <w:rPr>
          <w:lang w:val="en-US"/>
        </w:rPr>
      </w:pPr>
    </w:p>
    <w:p w14:paraId="2354F7C1" w14:textId="77777777" w:rsidR="00B31331" w:rsidRPr="00B31331" w:rsidRDefault="00B31331" w:rsidP="00357CD8">
      <w:pPr>
        <w:rPr>
          <w:lang w:val="en-US"/>
        </w:rPr>
      </w:pPr>
    </w:p>
    <w:p w14:paraId="69E14E06" w14:textId="77777777" w:rsidR="00B31331" w:rsidRPr="00B31331" w:rsidRDefault="00B31331" w:rsidP="00357CD8">
      <w:pPr>
        <w:rPr>
          <w:lang w:val="en-US"/>
        </w:rPr>
      </w:pPr>
    </w:p>
    <w:p w14:paraId="25BD7BD5" w14:textId="77777777" w:rsidR="00B31331" w:rsidRPr="00B31331" w:rsidRDefault="00B31331" w:rsidP="00357CD8">
      <w:pPr>
        <w:rPr>
          <w:lang w:val="en-US"/>
        </w:rPr>
      </w:pPr>
    </w:p>
    <w:p w14:paraId="68373084" w14:textId="77777777" w:rsidR="00B31331" w:rsidRPr="00B31331" w:rsidRDefault="00B31331" w:rsidP="00357CD8">
      <w:pPr>
        <w:rPr>
          <w:lang w:val="en-US"/>
        </w:rPr>
      </w:pPr>
    </w:p>
    <w:sectPr w:rsidR="00B31331" w:rsidRPr="00B31331" w:rsidSect="00DD0A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24E9"/>
    <w:multiLevelType w:val="multilevel"/>
    <w:tmpl w:val="5B4CD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E5294A"/>
    <w:multiLevelType w:val="multilevel"/>
    <w:tmpl w:val="8C66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9F4063"/>
    <w:multiLevelType w:val="multilevel"/>
    <w:tmpl w:val="C374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30599E"/>
    <w:multiLevelType w:val="multilevel"/>
    <w:tmpl w:val="892A6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8D32E8"/>
    <w:multiLevelType w:val="multilevel"/>
    <w:tmpl w:val="558C7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756020"/>
    <w:multiLevelType w:val="multilevel"/>
    <w:tmpl w:val="F358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6410732">
    <w:abstractNumId w:val="3"/>
  </w:num>
  <w:num w:numId="2" w16cid:durableId="284582083">
    <w:abstractNumId w:val="1"/>
  </w:num>
  <w:num w:numId="3" w16cid:durableId="1713378187">
    <w:abstractNumId w:val="4"/>
  </w:num>
  <w:num w:numId="4" w16cid:durableId="420299932">
    <w:abstractNumId w:val="5"/>
  </w:num>
  <w:num w:numId="5" w16cid:durableId="948589263">
    <w:abstractNumId w:val="2"/>
  </w:num>
  <w:num w:numId="6" w16cid:durableId="1658217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587"/>
    <w:rsid w:val="000953FE"/>
    <w:rsid w:val="000E749D"/>
    <w:rsid w:val="00132F03"/>
    <w:rsid w:val="00160F75"/>
    <w:rsid w:val="00177409"/>
    <w:rsid w:val="001918A9"/>
    <w:rsid w:val="001E51E8"/>
    <w:rsid w:val="00294290"/>
    <w:rsid w:val="002C1891"/>
    <w:rsid w:val="00340B99"/>
    <w:rsid w:val="00357CD8"/>
    <w:rsid w:val="003B048E"/>
    <w:rsid w:val="003D037E"/>
    <w:rsid w:val="00410DC4"/>
    <w:rsid w:val="00440301"/>
    <w:rsid w:val="00470673"/>
    <w:rsid w:val="0054636B"/>
    <w:rsid w:val="0063360A"/>
    <w:rsid w:val="006556F6"/>
    <w:rsid w:val="00657452"/>
    <w:rsid w:val="006D36F8"/>
    <w:rsid w:val="00741D7E"/>
    <w:rsid w:val="007B7B7E"/>
    <w:rsid w:val="008E4A08"/>
    <w:rsid w:val="00946CF3"/>
    <w:rsid w:val="0096762F"/>
    <w:rsid w:val="00980261"/>
    <w:rsid w:val="009A3CD4"/>
    <w:rsid w:val="009C4587"/>
    <w:rsid w:val="009D53B1"/>
    <w:rsid w:val="00A13801"/>
    <w:rsid w:val="00A4637C"/>
    <w:rsid w:val="00A527EF"/>
    <w:rsid w:val="00B31331"/>
    <w:rsid w:val="00B6756C"/>
    <w:rsid w:val="00B8516B"/>
    <w:rsid w:val="00BA7EF1"/>
    <w:rsid w:val="00BD1F29"/>
    <w:rsid w:val="00C03C1F"/>
    <w:rsid w:val="00C07FF4"/>
    <w:rsid w:val="00C17587"/>
    <w:rsid w:val="00CB50F8"/>
    <w:rsid w:val="00CC26C8"/>
    <w:rsid w:val="00CD406D"/>
    <w:rsid w:val="00CE0C4A"/>
    <w:rsid w:val="00D50F37"/>
    <w:rsid w:val="00DD0A5B"/>
    <w:rsid w:val="00EC0272"/>
    <w:rsid w:val="00F1263D"/>
    <w:rsid w:val="00FA4E6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40C69489"/>
  <w15:chartTrackingRefBased/>
  <w15:docId w15:val="{332AAF9F-1D4A-4E4D-9A58-AB045C1E3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D1F29"/>
  </w:style>
  <w:style w:type="paragraph" w:styleId="Kop1">
    <w:name w:val="heading 1"/>
    <w:basedOn w:val="Standaard"/>
    <w:next w:val="Standaard"/>
    <w:link w:val="Kop1Char"/>
    <w:uiPriority w:val="9"/>
    <w:qFormat/>
    <w:rsid w:val="00BD1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D1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D1F2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D1F2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D1F2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D1F2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1F2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1F2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1F2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1F2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D1F2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D1F2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D1F2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D1F2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D1F2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1F2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1F2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1F29"/>
    <w:rPr>
      <w:rFonts w:eastAsiaTheme="majorEastAsia" w:cstheme="majorBidi"/>
      <w:color w:val="272727" w:themeColor="text1" w:themeTint="D8"/>
    </w:rPr>
  </w:style>
  <w:style w:type="paragraph" w:styleId="Titel">
    <w:name w:val="Title"/>
    <w:basedOn w:val="Standaard"/>
    <w:next w:val="Standaard"/>
    <w:link w:val="TitelChar"/>
    <w:uiPriority w:val="10"/>
    <w:qFormat/>
    <w:rsid w:val="00BD1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1F2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1F2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1F29"/>
    <w:rPr>
      <w:rFonts w:eastAsiaTheme="majorEastAsia" w:cstheme="majorBidi"/>
      <w:color w:val="595959" w:themeColor="text1" w:themeTint="A6"/>
      <w:spacing w:val="15"/>
      <w:sz w:val="28"/>
      <w:szCs w:val="28"/>
    </w:rPr>
  </w:style>
  <w:style w:type="paragraph" w:styleId="Lijstalinea">
    <w:name w:val="List Paragraph"/>
    <w:basedOn w:val="Standaard"/>
    <w:uiPriority w:val="34"/>
    <w:qFormat/>
    <w:rsid w:val="00BD1F29"/>
    <w:pPr>
      <w:ind w:left="720"/>
      <w:contextualSpacing/>
    </w:pPr>
  </w:style>
  <w:style w:type="paragraph" w:styleId="Citaat">
    <w:name w:val="Quote"/>
    <w:basedOn w:val="Standaard"/>
    <w:next w:val="Standaard"/>
    <w:link w:val="CitaatChar"/>
    <w:uiPriority w:val="29"/>
    <w:qFormat/>
    <w:rsid w:val="00BD1F2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1F29"/>
    <w:rPr>
      <w:i/>
      <w:iCs/>
      <w:color w:val="404040" w:themeColor="text1" w:themeTint="BF"/>
    </w:rPr>
  </w:style>
  <w:style w:type="paragraph" w:styleId="Duidelijkcitaat">
    <w:name w:val="Intense Quote"/>
    <w:basedOn w:val="Standaard"/>
    <w:next w:val="Standaard"/>
    <w:link w:val="DuidelijkcitaatChar"/>
    <w:uiPriority w:val="30"/>
    <w:qFormat/>
    <w:rsid w:val="00BD1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D1F29"/>
    <w:rPr>
      <w:i/>
      <w:iCs/>
      <w:color w:val="0F4761" w:themeColor="accent1" w:themeShade="BF"/>
    </w:rPr>
  </w:style>
  <w:style w:type="character" w:styleId="Intensievebenadrukking">
    <w:name w:val="Intense Emphasis"/>
    <w:basedOn w:val="Standaardalinea-lettertype"/>
    <w:uiPriority w:val="21"/>
    <w:qFormat/>
    <w:rsid w:val="00BD1F29"/>
    <w:rPr>
      <w:i/>
      <w:iCs/>
      <w:color w:val="0F4761" w:themeColor="accent1" w:themeShade="BF"/>
    </w:rPr>
  </w:style>
  <w:style w:type="character" w:styleId="Intensieveverwijzing">
    <w:name w:val="Intense Reference"/>
    <w:basedOn w:val="Standaardalinea-lettertype"/>
    <w:uiPriority w:val="32"/>
    <w:qFormat/>
    <w:rsid w:val="00BD1F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954</Words>
  <Characters>5247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 Hofman</dc:creator>
  <cp:keywords/>
  <dc:description/>
  <cp:lastModifiedBy>Harm Hofman</cp:lastModifiedBy>
  <cp:revision>2</cp:revision>
  <dcterms:created xsi:type="dcterms:W3CDTF">2025-12-17T12:30:00Z</dcterms:created>
  <dcterms:modified xsi:type="dcterms:W3CDTF">2025-12-17T12:30:00Z</dcterms:modified>
</cp:coreProperties>
</file>